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66A9" w14:textId="77777777" w:rsidR="00793130" w:rsidRDefault="00793130" w:rsidP="00740EE9">
      <w:pPr>
        <w:spacing w:after="0" w:line="240" w:lineRule="auto"/>
        <w:jc w:val="center"/>
        <w:rPr>
          <w:rFonts w:ascii="Calibri" w:eastAsia="Times New Roman" w:hAnsi="Calibri" w:cs="Calibri"/>
          <w:color w:val="000000"/>
          <w:sz w:val="24"/>
          <w:szCs w:val="24"/>
        </w:rPr>
      </w:pPr>
    </w:p>
    <w:p w14:paraId="3A0C6D10" w14:textId="77777777" w:rsidR="009A7979" w:rsidRPr="00504389" w:rsidRDefault="009A7979" w:rsidP="009A7979">
      <w:pPr>
        <w:rPr>
          <w:b/>
        </w:rPr>
      </w:pPr>
      <w:bookmarkStart w:id="0" w:name="_Hlk530035946"/>
      <w:r w:rsidRPr="00504389">
        <w:rPr>
          <w:b/>
        </w:rPr>
        <w:t xml:space="preserve">A. INCORPORATION OF FAR AND DFARS CLAUSES </w:t>
      </w:r>
    </w:p>
    <w:p w14:paraId="09C0C878"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3D76C46" w14:textId="77777777" w:rsidR="009A7979" w:rsidRPr="00504389" w:rsidRDefault="009A7979" w:rsidP="009A7979">
      <w:pPr>
        <w:rPr>
          <w:b/>
        </w:rPr>
      </w:pPr>
      <w:r w:rsidRPr="00504389">
        <w:rPr>
          <w:b/>
        </w:rPr>
        <w:t>B. GOVERNMENT SUBCONTRACT</w:t>
      </w:r>
    </w:p>
    <w:p w14:paraId="3A619A9D" w14:textId="77777777" w:rsidR="009A7979" w:rsidRDefault="009A7979" w:rsidP="009A7979">
      <w:pPr>
        <w:spacing w:after="0"/>
      </w:pPr>
      <w:r>
        <w:t>(a) This Contract is entered into by the parties in support of a U.S. Government contract.</w:t>
      </w:r>
    </w:p>
    <w:p w14:paraId="4D754310" w14:textId="77777777" w:rsidR="009A7979" w:rsidRDefault="009A7979" w:rsidP="009A7979">
      <w:pPr>
        <w:spacing w:after="0"/>
      </w:pPr>
      <w:r>
        <w:t>(b) As used in the FAR and DFARS clauses referenced below and otherwise in this Contract:</w:t>
      </w:r>
    </w:p>
    <w:p w14:paraId="269AA856" w14:textId="77777777" w:rsidR="009A7979" w:rsidRDefault="009A7979" w:rsidP="009A7979">
      <w:pPr>
        <w:spacing w:after="0"/>
      </w:pPr>
      <w:r>
        <w:t>1. "Commercial Item" means a commercial item as defined in FAR 2.101.</w:t>
      </w:r>
    </w:p>
    <w:p w14:paraId="1638B7D2" w14:textId="77777777" w:rsidR="009A7979" w:rsidRDefault="009A7979" w:rsidP="009A7979">
      <w:pPr>
        <w:spacing w:after="0"/>
      </w:pPr>
      <w:r>
        <w:t>2. "Commercially available off-the-shelf (COTS) item" means a COTS item as defined in FAR 2.101</w:t>
      </w:r>
    </w:p>
    <w:p w14:paraId="18F0BF32" w14:textId="77777777" w:rsidR="009A7979" w:rsidRDefault="009A7979" w:rsidP="009A7979">
      <w:pPr>
        <w:spacing w:after="0"/>
      </w:pPr>
      <w:r>
        <w:t>3. "Contract" means this contract.</w:t>
      </w:r>
    </w:p>
    <w:p w14:paraId="66E394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3CD091F"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2BE3BF88"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B379301" w14:textId="77777777" w:rsidR="009A7979" w:rsidRDefault="009A7979" w:rsidP="009A7979">
      <w:pPr>
        <w:spacing w:after="0"/>
      </w:pPr>
      <w:r>
        <w:t>7. "Subcontract" means any contract placed by SELLER or lower-tier subcontractors under this Contract. </w:t>
      </w:r>
    </w:p>
    <w:p w14:paraId="7E0F7BF4" w14:textId="77777777" w:rsidR="009A7979" w:rsidRDefault="009A7979" w:rsidP="009A7979">
      <w:pPr>
        <w:keepNext/>
        <w:rPr>
          <w:b/>
        </w:rPr>
      </w:pPr>
    </w:p>
    <w:p w14:paraId="331343BE"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41471E7A" w14:textId="77777777" w:rsidTr="00604FEE">
        <w:trPr>
          <w:trHeight w:val="341"/>
        </w:trPr>
        <w:tc>
          <w:tcPr>
            <w:tcW w:w="1740" w:type="dxa"/>
            <w:shd w:val="clear" w:color="auto" w:fill="44546A" w:themeFill="text2"/>
            <w:noWrap/>
            <w:hideMark/>
          </w:tcPr>
          <w:bookmarkEnd w:id="0"/>
          <w:p w14:paraId="051A8C7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68C87A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383CEF4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14B3656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7FAC6339" w14:textId="77777777" w:rsidTr="00604FEE">
        <w:trPr>
          <w:trHeight w:val="260"/>
        </w:trPr>
        <w:tc>
          <w:tcPr>
            <w:tcW w:w="1740" w:type="dxa"/>
            <w:shd w:val="clear" w:color="auto" w:fill="D5DCE4" w:themeFill="text2" w:themeFillTint="33"/>
            <w:noWrap/>
            <w:hideMark/>
          </w:tcPr>
          <w:p w14:paraId="60690F47" w14:textId="23EBE11C" w:rsidR="0099147E" w:rsidRPr="00AC14CF" w:rsidRDefault="00E865DE" w:rsidP="0099147E">
            <w:pPr>
              <w:rPr>
                <w:rFonts w:ascii="Calibri" w:hAnsi="Calibri" w:cs="Calibri"/>
                <w:color w:val="000000"/>
              </w:rPr>
            </w:pPr>
            <w:r w:rsidRPr="00E865DE">
              <w:rPr>
                <w:rFonts w:ascii="Calibri" w:hAnsi="Calibri" w:cs="Calibri"/>
                <w:color w:val="000000"/>
              </w:rPr>
              <w:t>252.225-7028</w:t>
            </w:r>
          </w:p>
        </w:tc>
        <w:tc>
          <w:tcPr>
            <w:tcW w:w="3013" w:type="dxa"/>
            <w:shd w:val="clear" w:color="auto" w:fill="D5DCE4" w:themeFill="text2" w:themeFillTint="33"/>
            <w:hideMark/>
          </w:tcPr>
          <w:p w14:paraId="397BF248" w14:textId="18D10CD6" w:rsidR="0099147E" w:rsidRPr="0099147E"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Exclusionary Policies and Practices of Foreign Governments.</w:t>
            </w:r>
          </w:p>
        </w:tc>
        <w:tc>
          <w:tcPr>
            <w:tcW w:w="960" w:type="dxa"/>
            <w:noWrap/>
            <w:hideMark/>
          </w:tcPr>
          <w:p w14:paraId="630A85AD" w14:textId="60473A51" w:rsidR="0099147E" w:rsidRPr="0099147E" w:rsidRDefault="00E865D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03</w:t>
            </w:r>
          </w:p>
        </w:tc>
        <w:tc>
          <w:tcPr>
            <w:tcW w:w="3637" w:type="dxa"/>
            <w:hideMark/>
          </w:tcPr>
          <w:p w14:paraId="25B72FAA"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99FF112" w14:textId="77777777" w:rsidTr="00604FEE">
        <w:trPr>
          <w:trHeight w:val="260"/>
        </w:trPr>
        <w:tc>
          <w:tcPr>
            <w:tcW w:w="1740" w:type="dxa"/>
            <w:shd w:val="clear" w:color="auto" w:fill="D5DCE4" w:themeFill="text2" w:themeFillTint="33"/>
            <w:noWrap/>
            <w:hideMark/>
          </w:tcPr>
          <w:p w14:paraId="13677314" w14:textId="75B377AE" w:rsidR="0099147E" w:rsidRPr="0099147E" w:rsidRDefault="00E865DE" w:rsidP="0099147E">
            <w:pPr>
              <w:rPr>
                <w:rFonts w:ascii="Arial Narrow" w:eastAsia="Times New Roman" w:hAnsi="Arial Narrow" w:cs="Times New Roman"/>
                <w:color w:val="000000"/>
                <w:sz w:val="20"/>
                <w:szCs w:val="20"/>
              </w:rPr>
            </w:pPr>
            <w:r w:rsidRPr="00E865DE">
              <w:rPr>
                <w:rFonts w:ascii="Calibri" w:hAnsi="Calibri" w:cs="Calibri"/>
                <w:color w:val="000000"/>
              </w:rPr>
              <w:t>252.225-7036</w:t>
            </w:r>
          </w:p>
        </w:tc>
        <w:tc>
          <w:tcPr>
            <w:tcW w:w="3013" w:type="dxa"/>
            <w:shd w:val="clear" w:color="auto" w:fill="D5DCE4" w:themeFill="text2" w:themeFillTint="33"/>
            <w:hideMark/>
          </w:tcPr>
          <w:p w14:paraId="02B67300" w14:textId="2A75DE6F" w:rsidR="0099147E" w:rsidRPr="00043755" w:rsidRDefault="00E865DE" w:rsidP="0099147E">
            <w:pPr>
              <w:rPr>
                <w:rFonts w:ascii="Calibri" w:hAnsi="Calibri" w:cs="Calibri"/>
                <w:color w:val="000000"/>
              </w:rPr>
            </w:pPr>
            <w:r w:rsidRPr="00E865DE">
              <w:rPr>
                <w:rFonts w:ascii="Calibri" w:hAnsi="Calibri" w:cs="Calibri"/>
                <w:color w:val="000000"/>
              </w:rPr>
              <w:t>Buy American-Free Trade Agreements--Balance of Payments Program.</w:t>
            </w:r>
          </w:p>
        </w:tc>
        <w:tc>
          <w:tcPr>
            <w:tcW w:w="960" w:type="dxa"/>
            <w:noWrap/>
            <w:hideMark/>
          </w:tcPr>
          <w:p w14:paraId="2C668B56" w14:textId="0EF44429" w:rsidR="0099147E" w:rsidRPr="0099147E" w:rsidRDefault="00E865D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17</w:t>
            </w:r>
          </w:p>
        </w:tc>
        <w:tc>
          <w:tcPr>
            <w:tcW w:w="3637" w:type="dxa"/>
            <w:hideMark/>
          </w:tcPr>
          <w:p w14:paraId="74FC2EE5"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4E6C529C" w14:textId="77777777" w:rsidTr="00AC14CF">
        <w:trPr>
          <w:trHeight w:val="503"/>
        </w:trPr>
        <w:tc>
          <w:tcPr>
            <w:tcW w:w="1740" w:type="dxa"/>
            <w:shd w:val="clear" w:color="auto" w:fill="D5DCE4" w:themeFill="text2" w:themeFillTint="33"/>
            <w:noWrap/>
            <w:hideMark/>
          </w:tcPr>
          <w:p w14:paraId="783325BA" w14:textId="2013A795" w:rsidR="0099147E" w:rsidRPr="0099147E"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252.239-7016</w:t>
            </w:r>
          </w:p>
        </w:tc>
        <w:tc>
          <w:tcPr>
            <w:tcW w:w="3013" w:type="dxa"/>
            <w:shd w:val="clear" w:color="auto" w:fill="D5DCE4" w:themeFill="text2" w:themeFillTint="33"/>
            <w:hideMark/>
          </w:tcPr>
          <w:p w14:paraId="5D3B3C8A" w14:textId="4840034E" w:rsidR="0099147E" w:rsidRPr="0099147E"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Telecommunications Security Equipment, Devices, Techniques, and Services.</w:t>
            </w:r>
          </w:p>
        </w:tc>
        <w:tc>
          <w:tcPr>
            <w:tcW w:w="960" w:type="dxa"/>
            <w:noWrap/>
            <w:hideMark/>
          </w:tcPr>
          <w:p w14:paraId="448E7098" w14:textId="35A94C00" w:rsidR="0099147E" w:rsidRPr="0099147E" w:rsidRDefault="00E865D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91</w:t>
            </w:r>
          </w:p>
        </w:tc>
        <w:tc>
          <w:tcPr>
            <w:tcW w:w="3637" w:type="dxa"/>
            <w:hideMark/>
          </w:tcPr>
          <w:p w14:paraId="278257BA"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E865DE" w:rsidRPr="0099147E" w14:paraId="02C7B4A2" w14:textId="77777777" w:rsidTr="00AC14CF">
        <w:trPr>
          <w:trHeight w:val="503"/>
        </w:trPr>
        <w:tc>
          <w:tcPr>
            <w:tcW w:w="1740" w:type="dxa"/>
            <w:shd w:val="clear" w:color="auto" w:fill="D5DCE4" w:themeFill="text2" w:themeFillTint="33"/>
            <w:noWrap/>
          </w:tcPr>
          <w:p w14:paraId="3C16D301" w14:textId="77139294" w:rsidR="00E865DE" w:rsidRPr="00E865DE"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252.247-7024</w:t>
            </w:r>
          </w:p>
        </w:tc>
        <w:tc>
          <w:tcPr>
            <w:tcW w:w="3013" w:type="dxa"/>
            <w:shd w:val="clear" w:color="auto" w:fill="D5DCE4" w:themeFill="text2" w:themeFillTint="33"/>
          </w:tcPr>
          <w:p w14:paraId="52A99751" w14:textId="570C80EB" w:rsidR="00E865DE" w:rsidRPr="00043755"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Notification of Transportation of Supplies by Sea.</w:t>
            </w:r>
          </w:p>
        </w:tc>
        <w:tc>
          <w:tcPr>
            <w:tcW w:w="960" w:type="dxa"/>
            <w:noWrap/>
          </w:tcPr>
          <w:p w14:paraId="4F1EE2FB" w14:textId="738F9481" w:rsidR="00E865DE" w:rsidRDefault="00E865D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Mar-00</w:t>
            </w:r>
          </w:p>
        </w:tc>
        <w:tc>
          <w:tcPr>
            <w:tcW w:w="3637" w:type="dxa"/>
          </w:tcPr>
          <w:p w14:paraId="6EF687E1" w14:textId="77777777" w:rsidR="00E865DE" w:rsidRPr="0099147E" w:rsidRDefault="00E865DE" w:rsidP="0099147E">
            <w:pPr>
              <w:rPr>
                <w:rFonts w:ascii="Arial Narrow" w:eastAsia="Times New Roman" w:hAnsi="Arial Narrow" w:cs="Times New Roman"/>
                <w:color w:val="000000"/>
                <w:sz w:val="20"/>
                <w:szCs w:val="20"/>
              </w:rPr>
            </w:pPr>
          </w:p>
        </w:tc>
      </w:tr>
      <w:tr w:rsidR="00E865DE" w:rsidRPr="0099147E" w14:paraId="18699399" w14:textId="77777777" w:rsidTr="00AC14CF">
        <w:trPr>
          <w:trHeight w:val="503"/>
        </w:trPr>
        <w:tc>
          <w:tcPr>
            <w:tcW w:w="1740" w:type="dxa"/>
            <w:shd w:val="clear" w:color="auto" w:fill="D5DCE4" w:themeFill="text2" w:themeFillTint="33"/>
            <w:noWrap/>
          </w:tcPr>
          <w:p w14:paraId="578FCF16" w14:textId="099CBBC8" w:rsidR="00E865DE" w:rsidRPr="00E865DE"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52.245-9</w:t>
            </w:r>
          </w:p>
        </w:tc>
        <w:tc>
          <w:tcPr>
            <w:tcW w:w="3013" w:type="dxa"/>
            <w:shd w:val="clear" w:color="auto" w:fill="D5DCE4" w:themeFill="text2" w:themeFillTint="33"/>
          </w:tcPr>
          <w:p w14:paraId="43085456" w14:textId="38549CBA" w:rsidR="00E865DE" w:rsidRPr="00043755" w:rsidRDefault="00E865DE" w:rsidP="0099147E">
            <w:pPr>
              <w:rPr>
                <w:rFonts w:ascii="Arial Narrow" w:eastAsia="Times New Roman" w:hAnsi="Arial Narrow" w:cs="Times New Roman"/>
                <w:color w:val="000000"/>
                <w:sz w:val="20"/>
                <w:szCs w:val="20"/>
              </w:rPr>
            </w:pPr>
            <w:r w:rsidRPr="00E865DE">
              <w:rPr>
                <w:rFonts w:ascii="Arial Narrow" w:eastAsia="Times New Roman" w:hAnsi="Arial Narrow" w:cs="Times New Roman"/>
                <w:color w:val="000000"/>
                <w:sz w:val="20"/>
                <w:szCs w:val="20"/>
              </w:rPr>
              <w:t>Use and Charges.</w:t>
            </w:r>
          </w:p>
        </w:tc>
        <w:tc>
          <w:tcPr>
            <w:tcW w:w="960" w:type="dxa"/>
            <w:noWrap/>
          </w:tcPr>
          <w:p w14:paraId="31983CD0" w14:textId="3D9BAB9E" w:rsidR="00E865DE" w:rsidRDefault="00E865D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Apr-12</w:t>
            </w:r>
          </w:p>
        </w:tc>
        <w:tc>
          <w:tcPr>
            <w:tcW w:w="3637" w:type="dxa"/>
          </w:tcPr>
          <w:p w14:paraId="3861BBAC" w14:textId="77777777" w:rsidR="00E865DE" w:rsidRPr="0099147E" w:rsidRDefault="00E865DE" w:rsidP="0099147E">
            <w:pPr>
              <w:rPr>
                <w:rFonts w:ascii="Arial Narrow" w:eastAsia="Times New Roman" w:hAnsi="Arial Narrow" w:cs="Times New Roman"/>
                <w:color w:val="000000"/>
                <w:sz w:val="20"/>
                <w:szCs w:val="20"/>
              </w:rPr>
            </w:pPr>
          </w:p>
        </w:tc>
      </w:tr>
    </w:tbl>
    <w:p w14:paraId="26A5B020"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AEF9" w14:textId="77777777" w:rsidR="00DE2633" w:rsidRDefault="00DE2633" w:rsidP="006B2C64">
      <w:pPr>
        <w:spacing w:after="0" w:line="240" w:lineRule="auto"/>
      </w:pPr>
      <w:r>
        <w:separator/>
      </w:r>
    </w:p>
  </w:endnote>
  <w:endnote w:type="continuationSeparator" w:id="0">
    <w:p w14:paraId="470A90D0" w14:textId="77777777" w:rsidR="00DE2633" w:rsidRDefault="00DE2633"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6F72" w14:textId="77777777" w:rsidR="000B689C" w:rsidRDefault="000B6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6700" w14:textId="77777777" w:rsidR="000B689C" w:rsidRDefault="000B6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CC02" w14:textId="77777777" w:rsidR="000B689C" w:rsidRDefault="000B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27D2" w14:textId="77777777" w:rsidR="00DE2633" w:rsidRDefault="00DE2633" w:rsidP="006B2C64">
      <w:pPr>
        <w:spacing w:after="0" w:line="240" w:lineRule="auto"/>
      </w:pPr>
      <w:r>
        <w:separator/>
      </w:r>
    </w:p>
  </w:footnote>
  <w:footnote w:type="continuationSeparator" w:id="0">
    <w:p w14:paraId="2AD1AF31" w14:textId="77777777" w:rsidR="00DE2633" w:rsidRDefault="00DE2633"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5CAE" w14:textId="77777777" w:rsidR="000B689C" w:rsidRDefault="000B6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587" w14:textId="014D0B82" w:rsidR="0099147E" w:rsidRDefault="000B689C" w:rsidP="006B2C64">
    <w:pPr>
      <w:pStyle w:val="Header"/>
      <w:jc w:val="center"/>
    </w:pPr>
    <w:r w:rsidRPr="000B689C">
      <w:t>N00019-10-C-0044</w:t>
    </w:r>
    <w:r w:rsidRPr="000B689C">
      <w:t xml:space="preserve"> </w:t>
    </w:r>
    <w:r>
      <w:t>(</w:t>
    </w:r>
    <w:r w:rsidR="00E865DE">
      <w:t>2890911</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FF20" w14:textId="77777777" w:rsidR="000B689C" w:rsidRDefault="000B6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43755"/>
    <w:rsid w:val="00072D33"/>
    <w:rsid w:val="000B689C"/>
    <w:rsid w:val="001A575E"/>
    <w:rsid w:val="001A6E1B"/>
    <w:rsid w:val="002D0175"/>
    <w:rsid w:val="00316F82"/>
    <w:rsid w:val="00402A24"/>
    <w:rsid w:val="00410CDD"/>
    <w:rsid w:val="0051639F"/>
    <w:rsid w:val="00534F05"/>
    <w:rsid w:val="00586BF7"/>
    <w:rsid w:val="00604FEE"/>
    <w:rsid w:val="00663643"/>
    <w:rsid w:val="00666D8F"/>
    <w:rsid w:val="006B2C64"/>
    <w:rsid w:val="006C2B3E"/>
    <w:rsid w:val="00740EE9"/>
    <w:rsid w:val="00793130"/>
    <w:rsid w:val="007F7C59"/>
    <w:rsid w:val="008A1587"/>
    <w:rsid w:val="00912CF7"/>
    <w:rsid w:val="0099147E"/>
    <w:rsid w:val="009A7979"/>
    <w:rsid w:val="009D6EA3"/>
    <w:rsid w:val="009E43F1"/>
    <w:rsid w:val="00A27DD6"/>
    <w:rsid w:val="00AC14CF"/>
    <w:rsid w:val="00AC6AB1"/>
    <w:rsid w:val="00AF6A4A"/>
    <w:rsid w:val="00B17BC6"/>
    <w:rsid w:val="00B41C6E"/>
    <w:rsid w:val="00B4750E"/>
    <w:rsid w:val="00BB3D92"/>
    <w:rsid w:val="00BC5D05"/>
    <w:rsid w:val="00C74D5C"/>
    <w:rsid w:val="00C82C72"/>
    <w:rsid w:val="00CA2CFC"/>
    <w:rsid w:val="00CB0D70"/>
    <w:rsid w:val="00DE2633"/>
    <w:rsid w:val="00DF32AA"/>
    <w:rsid w:val="00E032AB"/>
    <w:rsid w:val="00E339BA"/>
    <w:rsid w:val="00E4361D"/>
    <w:rsid w:val="00E830AF"/>
    <w:rsid w:val="00E865DE"/>
    <w:rsid w:val="00EA3370"/>
    <w:rsid w:val="00EF75F6"/>
    <w:rsid w:val="00F02089"/>
    <w:rsid w:val="00F302AF"/>
    <w:rsid w:val="00F92AAD"/>
    <w:rsid w:val="00FB13E2"/>
    <w:rsid w:val="00FB1F5A"/>
    <w:rsid w:val="00FE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E9F"/>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3234">
      <w:bodyDiv w:val="1"/>
      <w:marLeft w:val="0"/>
      <w:marRight w:val="0"/>
      <w:marTop w:val="0"/>
      <w:marBottom w:val="0"/>
      <w:divBdr>
        <w:top w:val="none" w:sz="0" w:space="0" w:color="auto"/>
        <w:left w:val="none" w:sz="0" w:space="0" w:color="auto"/>
        <w:bottom w:val="none" w:sz="0" w:space="0" w:color="auto"/>
        <w:right w:val="none" w:sz="0" w:space="0" w:color="auto"/>
      </w:divBdr>
    </w:div>
    <w:div w:id="459687550">
      <w:bodyDiv w:val="1"/>
      <w:marLeft w:val="0"/>
      <w:marRight w:val="0"/>
      <w:marTop w:val="0"/>
      <w:marBottom w:val="0"/>
      <w:divBdr>
        <w:top w:val="none" w:sz="0" w:space="0" w:color="auto"/>
        <w:left w:val="none" w:sz="0" w:space="0" w:color="auto"/>
        <w:bottom w:val="none" w:sz="0" w:space="0" w:color="auto"/>
        <w:right w:val="none" w:sz="0" w:space="0" w:color="auto"/>
      </w:divBdr>
    </w:div>
    <w:div w:id="736434722">
      <w:bodyDiv w:val="1"/>
      <w:marLeft w:val="0"/>
      <w:marRight w:val="0"/>
      <w:marTop w:val="0"/>
      <w:marBottom w:val="0"/>
      <w:divBdr>
        <w:top w:val="none" w:sz="0" w:space="0" w:color="auto"/>
        <w:left w:val="none" w:sz="0" w:space="0" w:color="auto"/>
        <w:bottom w:val="none" w:sz="0" w:space="0" w:color="auto"/>
        <w:right w:val="none" w:sz="0" w:space="0" w:color="auto"/>
      </w:divBdr>
    </w:div>
    <w:div w:id="896210198">
      <w:bodyDiv w:val="1"/>
      <w:marLeft w:val="0"/>
      <w:marRight w:val="0"/>
      <w:marTop w:val="0"/>
      <w:marBottom w:val="0"/>
      <w:divBdr>
        <w:top w:val="none" w:sz="0" w:space="0" w:color="auto"/>
        <w:left w:val="none" w:sz="0" w:space="0" w:color="auto"/>
        <w:bottom w:val="none" w:sz="0" w:space="0" w:color="auto"/>
        <w:right w:val="none" w:sz="0" w:space="0" w:color="auto"/>
      </w:divBdr>
    </w:div>
    <w:div w:id="118443899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67972221">
      <w:bodyDiv w:val="1"/>
      <w:marLeft w:val="0"/>
      <w:marRight w:val="0"/>
      <w:marTop w:val="0"/>
      <w:marBottom w:val="0"/>
      <w:divBdr>
        <w:top w:val="none" w:sz="0" w:space="0" w:color="auto"/>
        <w:left w:val="none" w:sz="0" w:space="0" w:color="auto"/>
        <w:bottom w:val="none" w:sz="0" w:space="0" w:color="auto"/>
        <w:right w:val="none" w:sz="0" w:space="0" w:color="auto"/>
      </w:divBdr>
    </w:div>
    <w:div w:id="1624581523">
      <w:bodyDiv w:val="1"/>
      <w:marLeft w:val="0"/>
      <w:marRight w:val="0"/>
      <w:marTop w:val="0"/>
      <w:marBottom w:val="0"/>
      <w:divBdr>
        <w:top w:val="none" w:sz="0" w:space="0" w:color="auto"/>
        <w:left w:val="none" w:sz="0" w:space="0" w:color="auto"/>
        <w:bottom w:val="none" w:sz="0" w:space="0" w:color="auto"/>
        <w:right w:val="none" w:sz="0" w:space="0" w:color="auto"/>
      </w:divBdr>
    </w:div>
    <w:div w:id="1744333144">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McCullough, Lauren (US)</cp:lastModifiedBy>
  <cp:revision>3</cp:revision>
  <dcterms:created xsi:type="dcterms:W3CDTF">2025-05-27T18:31:00Z</dcterms:created>
  <dcterms:modified xsi:type="dcterms:W3CDTF">2025-05-27T18:31:00Z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2023-09-11T17:48:03Z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fa3e672b-6286-42bd-b651-104132623402</vt:lpwstr>
  </property>
  <property fmtid="{D5CDD505-2E9C-101B-9397-08002B2CF9AE}" pid="19" name="MSIP_Label_502bc7c3-f152-4da1-98bd-f7a1bebdf752_ContentBits">
    <vt:lpwstr>0</vt:lpwstr>
  </property>
</Properties>
</file>